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628650" cy="6000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АДМИНИСТРАЦИЯ ПОСЕЛКА ГОРШЕЧНОЕ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ГОРШЕЧЕНСКОГО РАЙОНА КУРСКОЙ ОБЛАСТИ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Calibri" w:cs="Times New Roman" w:eastAsiaTheme="minorHAnsi"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ru-RU" w:eastAsia="en-US" w:bidi="ar-SA"/>
        </w:rPr>
        <w:t>ПОСТАНОВЛЕНИЕ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от </w:t>
      </w:r>
      <w:r>
        <w:rPr>
          <w:rFonts w:cs="Times New Roman" w:ascii="Times New Roman" w:hAnsi="Times New Roman"/>
          <w:u w:val="single"/>
        </w:rPr>
        <w:t>«31</w:t>
      </w:r>
      <w:r>
        <w:rPr>
          <w:rFonts w:cs="Times New Roman" w:ascii="Times New Roman" w:hAnsi="Times New Roman"/>
          <w:u w:val="single"/>
          <w:lang w:val="en-US"/>
        </w:rPr>
        <w:t xml:space="preserve"> </w:t>
      </w:r>
      <w:r>
        <w:rPr>
          <w:rFonts w:cs="Times New Roman" w:ascii="Times New Roman" w:hAnsi="Times New Roman"/>
          <w:u w:val="single"/>
        </w:rPr>
        <w:t>»</w:t>
      </w:r>
      <w:r>
        <w:rPr>
          <w:rFonts w:cs="Times New Roman" w:ascii="Times New Roman" w:hAnsi="Times New Roman"/>
          <w:u w:val="single"/>
          <w:lang w:val="ru-RU"/>
        </w:rPr>
        <w:t xml:space="preserve"> марта  </w:t>
      </w:r>
      <w:r>
        <w:rPr>
          <w:rFonts w:cs="Times New Roman" w:ascii="Times New Roman" w:hAnsi="Times New Roman"/>
          <w:u w:val="single"/>
        </w:rPr>
        <w:t>2022</w:t>
      </w:r>
      <w:r>
        <w:rPr>
          <w:rFonts w:cs="Times New Roman" w:ascii="Times New Roman" w:hAnsi="Times New Roman"/>
        </w:rPr>
        <w:t xml:space="preserve"> года №87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306800 Курская область п. Горшечное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jc w:val="left"/>
        <w:rPr/>
      </w:pPr>
      <w:r>
        <w:rPr>
          <w:rStyle w:val="Strong"/>
          <w:rFonts w:cs="Tahoma" w:ascii="Times New Roman" w:hAnsi="Times New Roman"/>
          <w:b/>
          <w:bCs/>
          <w:color w:val="020C22"/>
          <w:sz w:val="22"/>
          <w:szCs w:val="22"/>
          <w:shd w:fill="F8F8F8" w:val="clear"/>
          <w:lang w:val="ru-RU"/>
        </w:rPr>
        <w:t xml:space="preserve">О внесении изменений в перечень </w:t>
      </w:r>
    </w:p>
    <w:p>
      <w:pPr>
        <w:pStyle w:val="Normal"/>
        <w:suppressAutoHyphens w:val="true"/>
        <w:spacing w:lineRule="auto" w:line="240" w:before="0" w:after="0"/>
        <w:jc w:val="left"/>
        <w:rPr/>
      </w:pPr>
      <w:r>
        <w:rPr>
          <w:rStyle w:val="Strong"/>
          <w:rFonts w:cs="Tahoma" w:ascii="Times New Roman" w:hAnsi="Times New Roman"/>
          <w:b/>
          <w:bCs/>
          <w:color w:val="020C22"/>
          <w:sz w:val="22"/>
          <w:szCs w:val="22"/>
          <w:shd w:fill="F8F8F8" w:val="clear"/>
          <w:lang w:val="ru-RU"/>
        </w:rPr>
        <w:t xml:space="preserve">главных администраторов доходов </w:t>
      </w:r>
    </w:p>
    <w:p>
      <w:pPr>
        <w:pStyle w:val="Normal"/>
        <w:suppressAutoHyphens w:val="true"/>
        <w:spacing w:lineRule="auto" w:line="240" w:before="0" w:after="0"/>
        <w:jc w:val="left"/>
        <w:rPr/>
      </w:pPr>
      <w:r>
        <w:rPr>
          <w:rStyle w:val="Strong"/>
          <w:rFonts w:cs="Tahoma" w:ascii="Times New Roman" w:hAnsi="Times New Roman"/>
          <w:b/>
          <w:bCs/>
          <w:color w:val="020C22"/>
          <w:sz w:val="22"/>
          <w:szCs w:val="22"/>
          <w:shd w:fill="F8F8F8" w:val="clear"/>
          <w:lang w:val="ru-RU"/>
        </w:rPr>
        <w:t>бюджета муниципального образования</w:t>
      </w:r>
    </w:p>
    <w:p>
      <w:pPr>
        <w:pStyle w:val="Normal"/>
        <w:suppressAutoHyphens w:val="true"/>
        <w:spacing w:lineRule="auto" w:line="240" w:before="0" w:after="0"/>
        <w:jc w:val="left"/>
        <w:rPr/>
      </w:pPr>
      <w:r>
        <w:rPr>
          <w:rStyle w:val="Strong"/>
          <w:rFonts w:cs="Tahoma" w:ascii="Times New Roman" w:hAnsi="Times New Roman"/>
          <w:b/>
          <w:bCs/>
          <w:color w:val="020C22"/>
          <w:sz w:val="22"/>
          <w:szCs w:val="22"/>
          <w:shd w:fill="F8F8F8" w:val="clear"/>
          <w:lang w:val="ru-RU"/>
        </w:rPr>
        <w:t>«поселок Горшечное » Горшеченского района</w:t>
      </w:r>
    </w:p>
    <w:p>
      <w:pPr>
        <w:pStyle w:val="Normal"/>
        <w:suppressAutoHyphens w:val="true"/>
        <w:spacing w:lineRule="auto" w:line="240" w:before="0" w:after="0"/>
        <w:jc w:val="left"/>
        <w:rPr/>
      </w:pPr>
      <w:r>
        <w:rPr>
          <w:rStyle w:val="Strong"/>
          <w:rFonts w:cs="Tahoma" w:ascii="Times New Roman" w:hAnsi="Times New Roman"/>
          <w:b/>
          <w:bCs/>
          <w:color w:val="020C22"/>
          <w:sz w:val="22"/>
          <w:szCs w:val="22"/>
          <w:shd w:fill="F8F8F8" w:val="clear"/>
          <w:lang w:val="ru-RU"/>
        </w:rPr>
        <w:t xml:space="preserve"> </w:t>
      </w:r>
      <w:r>
        <w:rPr>
          <w:rStyle w:val="Strong"/>
          <w:rFonts w:cs="Tahoma" w:ascii="Times New Roman" w:hAnsi="Times New Roman"/>
          <w:b/>
          <w:bCs/>
          <w:color w:val="020C22"/>
          <w:sz w:val="22"/>
          <w:szCs w:val="22"/>
          <w:shd w:fill="F8F8F8" w:val="clear"/>
          <w:lang w:val="ru-RU"/>
        </w:rPr>
        <w:t>Курской области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Arial" w:hAnsi="Arial" w:cs="Arial"/>
          <w:color w:val="020C22"/>
          <w:sz w:val="21"/>
          <w:szCs w:val="21"/>
          <w:highlight w:val="white"/>
        </w:rPr>
      </w:pPr>
      <w:r>
        <w:rPr>
          <w:rFonts w:cs="Arial" w:ascii="Arial" w:hAnsi="Arial"/>
          <w:color w:val="020C22"/>
          <w:sz w:val="21"/>
          <w:szCs w:val="21"/>
          <w:shd w:fill="F8F8F8" w:val="clear"/>
        </w:rPr>
        <w:tab/>
      </w:r>
      <w:r>
        <w:rPr>
          <w:rFonts w:cs="Arial" w:ascii="Times New Roman" w:hAnsi="Times New Roman"/>
          <w:color w:val="020C22"/>
          <w:sz w:val="26"/>
          <w:szCs w:val="26"/>
          <w:shd w:fill="F8F8F8" w:val="clear"/>
        </w:rPr>
        <w:tab/>
        <w:tab/>
        <w:tab/>
        <w:t xml:space="preserve">      В соответствии </w:t>
      </w:r>
      <w:r>
        <w:rPr>
          <w:rFonts w:cs="Arial" w:ascii="Times New Roman" w:hAnsi="Times New Roman"/>
          <w:color w:val="020C22"/>
          <w:sz w:val="26"/>
          <w:szCs w:val="26"/>
          <w:shd w:fill="F8F8F8" w:val="clear"/>
          <w:lang w:val="ru-RU"/>
        </w:rPr>
        <w:t xml:space="preserve">с постановлением Правительства Российской Федерации от 16.09.2021 года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 администратора доходов бюджета и к утверждению перечня главных администраторов доходов бюджета субъекта Российской Федерации,  бюджета территориального фонда обязательного медицинского страхования, местного бюджета», пунктом 3.2 ст. 160.1 Бюджетного кодекса Российской Федерации, </w:t>
      </w:r>
      <w:r>
        <w:rPr>
          <w:rFonts w:cs="Arial" w:ascii="Times New Roman" w:hAnsi="Times New Roman"/>
          <w:color w:val="020C22"/>
          <w:sz w:val="26"/>
          <w:szCs w:val="26"/>
          <w:shd w:fill="F8F8F8" w:val="clear"/>
        </w:rPr>
        <w:t xml:space="preserve">Администрация поселка Горшечное Горшеченского района </w:t>
      </w:r>
      <w:r>
        <w:rPr>
          <w:rFonts w:cs="Arial" w:ascii="Times New Roman" w:hAnsi="Times New Roman"/>
          <w:color w:val="020C22"/>
          <w:sz w:val="26"/>
          <w:szCs w:val="26"/>
          <w:shd w:fill="F8F8F8" w:val="clear"/>
          <w:lang w:val="ru-RU"/>
        </w:rPr>
        <w:t>Курской области</w:t>
      </w:r>
    </w:p>
    <w:p>
      <w:pPr>
        <w:pStyle w:val="Normal"/>
        <w:rPr>
          <w:rFonts w:ascii="Arial" w:hAnsi="Arial" w:cs="Arial"/>
          <w:color w:val="020C22"/>
          <w:sz w:val="21"/>
          <w:szCs w:val="21"/>
          <w:highlight w:val="white"/>
        </w:rPr>
      </w:pPr>
      <w:r>
        <w:rPr>
          <w:rFonts w:cs="Arial" w:ascii="Times New Roman" w:hAnsi="Times New Roman"/>
          <w:b w:val="false"/>
          <w:bCs w:val="false"/>
          <w:color w:val="020C22"/>
          <w:sz w:val="24"/>
          <w:szCs w:val="24"/>
          <w:shd w:fill="F8F8F8" w:val="clear"/>
        </w:rPr>
        <w:t xml:space="preserve"> </w:t>
      </w:r>
      <w:r>
        <w:rPr>
          <w:rFonts w:cs="Arial" w:ascii="Times New Roman" w:hAnsi="Times New Roman"/>
          <w:color w:val="020C22"/>
          <w:sz w:val="24"/>
          <w:szCs w:val="24"/>
          <w:shd w:fill="F8F8F8" w:val="clear"/>
        </w:rPr>
        <w:t>ПОСТАНОВЛЯЮ :</w:t>
      </w:r>
    </w:p>
    <w:p>
      <w:pPr>
        <w:pStyle w:val="Style17"/>
        <w:numPr>
          <w:ilvl w:val="0"/>
          <w:numId w:val="1"/>
        </w:numPr>
        <w:rPr/>
      </w:pPr>
      <w:r>
        <w:rPr>
          <w:rStyle w:val="Strong"/>
          <w:rFonts w:cs="Tahoma" w:ascii="Times New Roman" w:hAnsi="Times New Roman"/>
          <w:b w:val="false"/>
          <w:bCs w:val="false"/>
          <w:color w:val="020C22"/>
          <w:sz w:val="26"/>
          <w:szCs w:val="26"/>
          <w:shd w:fill="F8F8F8" w:val="clear"/>
          <w:lang w:val="ru-RU"/>
        </w:rPr>
        <w:t>Утвердить прилагаемые изменения, которые вносятся в перечень главных администраторов доходов бюджета муниципального образования</w:t>
      </w:r>
      <w:r>
        <w:rPr>
          <w:rStyle w:val="Strong"/>
          <w:rFonts w:cs="Tahoma" w:ascii="Times New Roman" w:hAnsi="Times New Roman"/>
          <w:b/>
          <w:bCs/>
          <w:color w:val="020C22"/>
          <w:sz w:val="26"/>
          <w:szCs w:val="26"/>
          <w:shd w:fill="F8F8F8" w:val="clear"/>
          <w:lang w:val="ru-RU"/>
        </w:rPr>
        <w:t xml:space="preserve"> </w:t>
      </w:r>
      <w:r>
        <w:rPr>
          <w:rStyle w:val="Strong"/>
          <w:rFonts w:cs="Tahoma" w:ascii="Times New Roman" w:hAnsi="Times New Roman"/>
          <w:b w:val="false"/>
          <w:bCs w:val="false"/>
          <w:color w:val="020C22"/>
          <w:sz w:val="26"/>
          <w:szCs w:val="26"/>
          <w:shd w:fill="F8F8F8" w:val="clear"/>
          <w:lang w:val="ru-RU"/>
        </w:rPr>
        <w:t>«поселок Горшечное» Горшеченского района Курской области, утвержденный постановлением Администрации поселка Горшечное Горшеченского района Курской области от 17.12.2021г. №295.</w:t>
      </w:r>
    </w:p>
    <w:p>
      <w:pPr>
        <w:pStyle w:val="Style17"/>
        <w:numPr>
          <w:ilvl w:val="0"/>
          <w:numId w:val="1"/>
        </w:numPr>
        <w:rPr>
          <w:sz w:val="26"/>
          <w:szCs w:val="26"/>
        </w:rPr>
      </w:pPr>
      <w:r>
        <w:rPr>
          <w:rFonts w:cs="Arial" w:ascii="Times New Roman" w:hAnsi="Times New Roman"/>
          <w:color w:val="020C22"/>
          <w:sz w:val="26"/>
          <w:szCs w:val="26"/>
          <w:shd w:fill="F8F8F8" w:val="clear"/>
          <w:lang w:val="ru-RU"/>
        </w:rPr>
        <w:t xml:space="preserve">Постановление применяется к правоотношениям, возникающим при составлении и исполнении бюджета </w:t>
      </w:r>
      <w:r>
        <w:rPr>
          <w:rFonts w:cs="Tahoma" w:ascii="Times New Roman" w:hAnsi="Times New Roman"/>
          <w:b w:val="false"/>
          <w:bCs w:val="false"/>
          <w:color w:val="020C22"/>
          <w:sz w:val="26"/>
          <w:szCs w:val="26"/>
          <w:shd w:fill="F8F8F8" w:val="clear"/>
          <w:lang w:val="ru-RU"/>
        </w:rPr>
        <w:t>муниципального образования</w:t>
      </w:r>
      <w:r>
        <w:rPr>
          <w:rFonts w:cs="Arial" w:ascii="Times New Roman" w:hAnsi="Times New Roman"/>
          <w:color w:val="020C22"/>
          <w:sz w:val="26"/>
          <w:szCs w:val="26"/>
          <w:shd w:fill="F8F8F8" w:val="clear"/>
          <w:lang w:val="ru-RU"/>
        </w:rPr>
        <w:t xml:space="preserve"> «поселок Горшечное» Горшеченского района Курской области на 2022 год и на плановый период 2023 и 2024 годов.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</w:p>
    <w:p>
      <w:pPr>
        <w:pStyle w:val="Normal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Глава поселка Горшечное                                                                       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6"/>
          <w:szCs w:val="26"/>
          <w:lang w:val="ru-RU" w:eastAsia="en-US" w:bidi="ar-SA"/>
        </w:rPr>
        <w:t>С.Ю. Толоконников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УТВЕРЖДЕН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постановлением Администрации</w:t>
      </w:r>
    </w:p>
    <w:p>
      <w:pPr>
        <w:pStyle w:val="Normal"/>
        <w:spacing w:before="0" w:after="0"/>
        <w:jc w:val="right"/>
        <w:rPr>
          <w:rFonts w:ascii="Times New Roman" w:hAnsi="Times New Roman" w:eastAsia="Calibri" w:cs="Times New Roman" w:eastAsiaTheme="minorHAnsi"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ru-RU" w:eastAsia="en-US" w:bidi="ar-SA"/>
        </w:rPr>
        <w:t>поселка Горшечное</w:t>
      </w:r>
    </w:p>
    <w:p>
      <w:pPr>
        <w:pStyle w:val="Normal"/>
        <w:spacing w:before="0" w:after="0"/>
        <w:jc w:val="right"/>
        <w:rPr>
          <w:rFonts w:ascii="Times New Roman" w:hAnsi="Times New Roman" w:eastAsia="Calibri" w:cs="Times New Roman" w:eastAsiaTheme="minorHAnsi"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ru-RU" w:eastAsia="en-US" w:bidi="ar-SA"/>
        </w:rPr>
        <w:t>Горшеченского района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Курской области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 ______________№___________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9921" w:leader="none"/>
        </w:tabs>
        <w:ind w:right="140" w:hanging="0"/>
        <w:jc w:val="center"/>
        <w:rPr>
          <w:sz w:val="28"/>
          <w:szCs w:val="28"/>
        </w:rPr>
      </w:pPr>
      <w:r>
        <w:rPr>
          <w:rFonts w:cs="Tahoma" w:ascii="Times New Roman" w:hAnsi="Times New Roman"/>
          <w:b/>
          <w:bCs/>
          <w:sz w:val="28"/>
          <w:szCs w:val="28"/>
          <w:lang w:val="ru-RU"/>
        </w:rPr>
        <w:t>Перечень</w:t>
      </w:r>
    </w:p>
    <w:p>
      <w:pPr>
        <w:pStyle w:val="Normal"/>
        <w:tabs>
          <w:tab w:val="clear" w:pos="708"/>
          <w:tab w:val="left" w:pos="9921" w:leader="none"/>
        </w:tabs>
        <w:ind w:right="14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b/>
          <w:bCs/>
          <w:sz w:val="22"/>
          <w:szCs w:val="22"/>
          <w:lang w:val="ru-RU"/>
        </w:rPr>
        <w:t xml:space="preserve"> </w:t>
      </w:r>
      <w:r>
        <w:rPr>
          <w:rFonts w:cs="Tahoma" w:ascii="Times New Roman" w:hAnsi="Times New Roman"/>
          <w:b/>
          <w:bCs/>
          <w:sz w:val="22"/>
          <w:szCs w:val="22"/>
          <w:lang w:val="ru-RU"/>
        </w:rPr>
        <w:t xml:space="preserve">главных администраторов доходов </w:t>
      </w:r>
    </w:p>
    <w:p>
      <w:pPr>
        <w:pStyle w:val="Normal"/>
        <w:tabs>
          <w:tab w:val="clear" w:pos="708"/>
          <w:tab w:val="left" w:pos="9921" w:leader="none"/>
        </w:tabs>
        <w:ind w:right="140" w:firstLine="720"/>
        <w:jc w:val="center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b/>
          <w:bCs/>
          <w:sz w:val="22"/>
          <w:szCs w:val="22"/>
          <w:lang w:val="ru-RU"/>
        </w:rPr>
        <w:t>бюджета муниципального образования «поселок Горшечное»</w:t>
      </w:r>
    </w:p>
    <w:p>
      <w:pPr>
        <w:pStyle w:val="Normal"/>
        <w:tabs>
          <w:tab w:val="clear" w:pos="708"/>
          <w:tab w:val="left" w:pos="9921" w:leader="none"/>
        </w:tabs>
        <w:ind w:right="140" w:firstLine="720"/>
        <w:jc w:val="center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b/>
          <w:bCs/>
          <w:sz w:val="22"/>
          <w:szCs w:val="22"/>
        </w:rPr>
        <w:t>Горшеченского района Курской области</w:t>
      </w:r>
    </w:p>
    <w:p>
      <w:pPr>
        <w:pStyle w:val="Normal"/>
        <w:tabs>
          <w:tab w:val="clear" w:pos="708"/>
          <w:tab w:val="left" w:pos="9921" w:leader="none"/>
        </w:tabs>
        <w:ind w:right="140" w:firstLine="720"/>
        <w:jc w:val="center"/>
        <w:rPr>
          <w:rFonts w:ascii="Times New Roman" w:hAnsi="Times New Roman" w:cs="Tahoma"/>
          <w:b/>
          <w:b/>
          <w:bCs/>
          <w:sz w:val="22"/>
          <w:szCs w:val="22"/>
        </w:rPr>
      </w:pPr>
      <w:r>
        <w:rPr>
          <w:rFonts w:cs="Tahoma" w:ascii="Times New Roman" w:hAnsi="Times New Roman"/>
          <w:b/>
          <w:bCs/>
          <w:sz w:val="22"/>
          <w:szCs w:val="22"/>
        </w:rPr>
      </w:r>
    </w:p>
    <w:tbl>
      <w:tblPr>
        <w:tblW w:w="10808" w:type="dxa"/>
        <w:jc w:val="left"/>
        <w:tblInd w:w="-4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742"/>
        <w:gridCol w:w="6840"/>
      </w:tblGrid>
      <w:tr>
        <w:trPr>
          <w:trHeight w:val="702" w:hRule="exact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6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Наименование   главного администратора доходов  бюджета 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поселения</w:t>
            </w:r>
          </w:p>
        </w:tc>
      </w:tr>
      <w:tr>
        <w:trPr>
          <w:trHeight w:val="1394" w:hRule="exact"/>
        </w:trPr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ind w:left="-284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главного админи-стратора доходов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68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10779" w:type="dxa"/>
        <w:jc w:val="left"/>
        <w:tblInd w:w="-1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2762"/>
        <w:gridCol w:w="6834"/>
      </w:tblGrid>
      <w:tr>
        <w:trPr>
          <w:tblHeader w:val="true"/>
          <w:trHeight w:val="171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ind w:right="-390" w:firstLine="7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>
        <w:trPr>
          <w:trHeight w:val="218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Администрация поселка Горшечное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1 08 04020 01 0000 110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1 08 07175 01 0000  110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1 11 01050 13 0000 120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1 11 02085 13 0000 120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поселений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1 11 03050 13 0000 120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1 11 05013 13 0000 120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fill="FFFFFF" w:val="clear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1 11 05025 13 0000 120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Доходы, получаемые в виде арендной платы, а   также средства от продажи права    на заключение  договоров  аренды за земли, 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1 11 05035 13 0000 120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lef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1 11 05075 13 0000 120 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>
                <w:color w:val="000000"/>
              </w:rPr>
              <w:t xml:space="preserve">Доходы от сдачи в аренду имущества, составляющего казну </w:t>
            </w:r>
            <w:r>
              <w:rPr>
                <w:rFonts w:eastAsia="Calibri" w:cs="" w:cstheme="minorBidi" w:eastAsiaTheme="minorHAnsi"/>
                <w:color w:val="000000"/>
                <w:kern w:val="0"/>
                <w:sz w:val="22"/>
                <w:szCs w:val="22"/>
                <w:lang w:val="ru-RU" w:eastAsia="en-US" w:bidi="ar-SA"/>
              </w:rPr>
              <w:t>городских поселений</w:t>
            </w:r>
            <w:r>
              <w:rPr>
                <w:color w:val="000000"/>
              </w:rPr>
              <w:t xml:space="preserve"> (за исключением земельных участков)  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1 11 05313 13 0000 120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1 11 07015 13 0000 120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1 11 08050 13 0000 120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Средства, получаемые  от передачи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 в залог, в доверительное управление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1 11 09015 13 0000 120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поселений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1 11 09025 13 0000 120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Доходы от распоряжения правами на результаты научно-технической деятельности, находящимися в собственности городских поселений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1 11 09035 13 0000 120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1 11 09045 13 0000 120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1 12 04051 13 0000 120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1 12 04052 13 0000 120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арендной платы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1 12 05050 13 0000 120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Плата за пользование водными объектами, находящимися в собственности городских поселений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1 13 01540 13 0000 130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1 13 01995 13 0000 130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Прочие доходы от оказания платных услуг (работ)  получателями средств бюджетов городских поселений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1 13 02065 13 0000 130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Доходы, поступающие в порядке возмещения                              расходов,   понесенных   в    связи    с    эксплуатацией имущества городских поселений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1 13 02995 13 0000 130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Прочие доходы от компенсации затрат бюджетов городских поселений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1 14 01050 13 0000 410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Доходы от продажи квартир, находящихся в собственности городских поселений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1 14 02052 13 0000 410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1 14 02052 13 0000 440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1 14 02053 13 0000 410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1 14 02053 13 0000 440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муниципальных,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1 14 03050 13 0000 410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Средства от распоряжения и реализации выморочного имущества, обращенного в собственность городских поселений  (в части реализации основных средств по указанному имуществу)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1 14 03050 13 0000 440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Средства от распоряжения и реализации выморочного имущества, обращенного в собственность городских поселений (в части реализации материальных запасов по указанному имуществу)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1 14 04050 13 0000 420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Доходы от продажи нематериальных активов, находящихся в собственности городских поселений </w:t>
            </w:r>
          </w:p>
        </w:tc>
      </w:tr>
      <w:tr>
        <w:trPr>
          <w:trHeight w:val="145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1 14 06013 13 0000 430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>
        <w:trPr>
          <w:trHeight w:val="145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1 14 06025 13 0000 430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Доходы  от продажи земельных участков, находящихся в собственности городских  поселений (за исключением земельных участков муниципальных, бюджетных и  автономных учреждений)</w:t>
            </w:r>
          </w:p>
        </w:tc>
      </w:tr>
      <w:tr>
        <w:trPr>
          <w:trHeight w:val="145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1 14 06325 13 0000 430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>
        <w:trPr>
          <w:trHeight w:val="145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1 15 02050 13 0000 140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Платежи,     взимаемые     органами     местного           самоуправления  (организациями) городских  поселений   за                           выполнение определенных функций</w:t>
            </w:r>
          </w:p>
        </w:tc>
      </w:tr>
      <w:tr>
        <w:trPr>
          <w:trHeight w:val="23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1 16 07010 13 0000 140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>
        <w:trPr>
          <w:trHeight w:val="300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001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1 16 07030 13 0000 140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>
        <w:trPr>
          <w:trHeight w:val="23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001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1 16 07040 13 0000 140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>
        <w:trPr>
          <w:trHeight w:val="300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001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1 16 07090 13 0000 140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>
        <w:trPr>
          <w:trHeight w:val="240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001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1 16 09040 13 0000 140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Денежные средства, изымаемые в собственность городского поселения в соответствии с решениями судов (за исключением обвинительных приговоров судов)</w:t>
            </w:r>
          </w:p>
        </w:tc>
      </w:tr>
      <w:tr>
        <w:trPr>
          <w:trHeight w:val="300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001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1 16 10030 13 0000 140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>
        <w:trPr>
          <w:trHeight w:val="330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001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1 16 10031 13 0000 140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>
        <w:trPr>
          <w:trHeight w:val="26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001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1 16 10032 13 0000 140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>
        <w:trPr>
          <w:trHeight w:val="3255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1 16 1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61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13 0000 140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Платежи в целях возмещения убытков, причиненных уклонением от заключения с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</w:p>
        </w:tc>
      </w:tr>
      <w:tr>
        <w:trPr>
          <w:trHeight w:val="540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001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1 16 10062 13 0000 140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>
        <w:trPr>
          <w:trHeight w:val="1845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001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1 16 10081 13 0000 140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1380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001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1 16 10082 13 0000 140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>
        <w:trPr>
          <w:trHeight w:val="53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001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1 16 10100 13 0000 140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>
        <w:trPr>
          <w:trHeight w:val="26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001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1 16 18050 13 0000 140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>
        <w:trPr>
          <w:trHeight w:val="145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1 16 32000 13 0000 140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680" w:leader="none"/>
              </w:tabs>
              <w:snapToGrid w:val="false"/>
              <w:spacing w:before="0" w:after="200"/>
              <w:ind w:left="-20" w:firstLine="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>
        <w:trPr>
          <w:trHeight w:val="145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1 16 33050 13 0000 140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680" w:leader="none"/>
              </w:tabs>
              <w:snapToGrid w:val="false"/>
              <w:spacing w:before="0" w:after="200"/>
              <w:ind w:left="-20" w:firstLine="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>
        <w:trPr>
          <w:trHeight w:val="145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1 16 37040 13 0000 140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>
        <w:trPr>
          <w:trHeight w:val="145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1 16 46000 13 0000 140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>
        <w:trPr>
          <w:trHeight w:val="145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1 16 51040 02 0000 140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>
        <w:trPr>
          <w:trHeight w:val="145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1 16 90050 13 0000 140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>
        <w:trPr>
          <w:trHeight w:val="145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lef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lef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1 17 01050 13 0000 180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/>
            </w:pPr>
            <w:r>
              <w:rPr>
                <w:color w:val="000000"/>
                <w:lang w:eastAsia="ar-SA"/>
              </w:rPr>
              <w:t xml:space="preserve">Невыясненные поступления, зачисляемые в бюджеты </w:t>
            </w:r>
            <w:r>
              <w:rPr>
                <w:rFonts w:eastAsia="Calibri" w:cs="" w:cstheme="minorBidi" w:eastAsiaTheme="minorHAnsi"/>
                <w:color w:val="000000"/>
                <w:kern w:val="0"/>
                <w:sz w:val="22"/>
                <w:szCs w:val="22"/>
                <w:lang w:val="ru-RU" w:eastAsia="ar-SA" w:bidi="ar-SA"/>
              </w:rPr>
              <w:t>городских поселений</w:t>
            </w:r>
          </w:p>
        </w:tc>
      </w:tr>
      <w:tr>
        <w:trPr>
          <w:trHeight w:val="145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1 17 02020 13 0000 180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1 17 14030 13 0000 1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Средства самообложения      граждан,    зачисляемые в бюджеты городских поселений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1 17 01050 13 0000 180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1 17 05050 13 0000 180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Прочие неналоговые доходы бюджетов городских поселений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001 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БЕЗВОЗМЕЗДНЫЕ ПОСТУПЛЕНИЯ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**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/>
              <w:t>001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/>
              <w:t>2 02 16001 13 0000 150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/>
              <w:t>Дотации бюджетам городских поселений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2 02 25497 13 0000 150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/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2 02 25519 13 0000 150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/>
              <w:t>Субсидии бюджетам городских поселений на поддержку отрасли культуры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2 02 29999 13 0000 150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/>
              <w:t>Прочие субсидии городским поселениям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2 02 25555 13 0000 150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/>
              <w:t>Субсидия бюджетам городских поселений на поддержку муниципальных программ формирования современной городской среды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2 02 35118 13 0000 150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/>
              <w:t>Субвенция бюджетам городских поселений на осуществление первичного воинского учета на территории, где отсутствуют военные комиссариаты.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lang w:eastAsia="ar-SA"/>
              </w:rPr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  <w:lang w:eastAsia="ar-SA"/>
              </w:rPr>
              <w:t>2 02 39999 13 0000 150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Прочие субвенции бюджетам городских поселений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2 02 40014 13 0000 150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/>
              <w:t>Межбюджетные трансферты, передаваемые из бюджетов муниципальных районов в бюджет городских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lang w:eastAsia="ar-SA"/>
              </w:rPr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  <w:lang w:eastAsia="ar-SA"/>
              </w:rPr>
              <w:t>2 07 05030 13 0000 150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Прочие безвозмездные поступления в бюджеты городских поселений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2 19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60010 13 0000 150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182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b/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Межрайонная инспекция Федеральной налоговой службы №9 по Курской области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182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1 01 02010 01 0000 110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182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1 01 02020 01 0000 110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182 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1 01 02030 01 0000 110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182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1 05 01011 01 0000 110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Налог, взимаемый с налогоплательщиков, выбравших в качестве объекта налогообложения  доходы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182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1 05 01021 01 0000 110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182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1 05 01050 01 0000 110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182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1 05 02010 02 0000 110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Единый налог на вмененный доход для отдельных видов деятельности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182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1 05 03010 01 0000 110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Единый сельскохозяйственный налог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182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1 05 04020 02 0000 110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182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1 08 03010 01 0000 110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100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b/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Управление Федерального казначейства по Курской области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100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1 03 02231 01 0000 110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100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1 03 02241 01 0000 110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100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1 03 02251 01 0000 110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42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100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1 03 02261 01 0000 110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** Главными администраторами доходов, администраторами доходов по группе доходов «2 00 00000 00 0000 000 Безвозмездные поступления» (в части доходов, зачисляемых в бюджеты городских поселений) являются уполномоченные органы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местного самоуправления</w:t>
      </w:r>
      <w:r>
        <w:rPr>
          <w:rFonts w:ascii="Times New Roman" w:hAnsi="Times New Roman"/>
          <w:sz w:val="22"/>
          <w:szCs w:val="22"/>
          <w:lang w:val="ru-RU"/>
        </w:rPr>
        <w:t>, а также созданные ими казенные учреждения, являющиеся получателями указанных средств.</w:t>
      </w:r>
    </w:p>
    <w:p>
      <w:pPr>
        <w:pStyle w:val="Normal"/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spacing w:before="0" w:after="200"/>
        <w:jc w:val="right"/>
        <w:rPr>
          <w:rFonts w:ascii="Times New Roman" w:hAnsi="Times New Roman"/>
          <w:sz w:val="22"/>
          <w:szCs w:val="22"/>
          <w:lang w:val="ru-RU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6c8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5f51b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Pr>
      <w:b/>
      <w:bCs/>
    </w:rPr>
  </w:style>
  <w:style w:type="character" w:styleId="WW8Num1z0">
    <w:name w:val="WW8Num1z0"/>
    <w:qFormat/>
    <w:rPr>
      <w:szCs w:val="28"/>
      <w:lang w:val="ru-RU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bc3961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5f51b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b8a"/>
    <w:pPr>
      <w:spacing w:before="0" w:after="200"/>
      <w:ind w:left="72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Application>LibreOffice/6.4.5.2$Windows_X86_64 LibreOffice_project/a726b36747cf2001e06b58ad5db1aa3a9a1872d6</Application>
  <Pages>7</Pages>
  <Words>2705</Words>
  <Characters>18049</Characters>
  <CharactersWithSpaces>20690</CharactersWithSpaces>
  <Paragraphs>295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2021-01-15T10:20:00Z</dcterms:created>
  <dc:creator>Пользователь</dc:creator>
  <dc:description/>
  <dc:language>ru-RU</dc:language>
  <cp:lastModifiedBy/>
  <cp:lastPrinted>2022-06-17T11:55:22Z</cp:lastPrinted>
  <dcterms:modified xsi:type="dcterms:W3CDTF">2022-06-17T13:29:54Z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